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2CD9" w:rsidRDefault="00CF2CD9">
      <w:pPr>
        <w:pStyle w:val="normal0"/>
      </w:pPr>
      <w:bookmarkStart w:id="0" w:name="_GoBack"/>
      <w:bookmarkEnd w:id="0"/>
    </w:p>
    <w:tbl>
      <w:tblPr>
        <w:tblStyle w:val="a"/>
        <w:tblW w:w="12888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11"/>
        <w:gridCol w:w="1611"/>
        <w:gridCol w:w="1611"/>
        <w:gridCol w:w="1611"/>
        <w:gridCol w:w="1611"/>
        <w:gridCol w:w="1611"/>
        <w:gridCol w:w="1611"/>
        <w:gridCol w:w="1611"/>
      </w:tblGrid>
      <w:tr w:rsidR="002063BC" w:rsidTr="002063BC">
        <w:trPr>
          <w:trHeight w:val="420"/>
        </w:trPr>
        <w:tc>
          <w:tcPr>
            <w:tcW w:w="12888" w:type="dxa"/>
            <w:gridSpan w:val="8"/>
            <w:shd w:val="clear" w:color="auto" w:fill="8DB3E2"/>
            <w:tcMar>
              <w:left w:w="108" w:type="dxa"/>
              <w:right w:w="108" w:type="dxa"/>
            </w:tcMar>
            <w:vAlign w:val="center"/>
          </w:tcPr>
          <w:p w:rsidR="002063BC" w:rsidRDefault="002063BC" w:rsidP="002063BC">
            <w:pPr>
              <w:pStyle w:val="normal0"/>
              <w:spacing w:after="0"/>
              <w:jc w:val="center"/>
            </w:pPr>
            <w:r>
              <w:rPr>
                <w:b/>
                <w:sz w:val="24"/>
              </w:rPr>
              <w:t>North Carolina Essential Standards for High School</w:t>
            </w:r>
          </w:p>
        </w:tc>
      </w:tr>
      <w:tr w:rsidR="00CF2CD9">
        <w:trPr>
          <w:trHeight w:val="420"/>
        </w:trPr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tabs>
                <w:tab w:val="left" w:pos="1440"/>
              </w:tabs>
              <w:spacing w:after="0" w:line="240" w:lineRule="auto"/>
              <w:jc w:val="center"/>
            </w:pPr>
            <w:r>
              <w:rPr>
                <w:b/>
              </w:rPr>
              <w:t>Unit 1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2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3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4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5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6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7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Unit 8</w:t>
            </w:r>
          </w:p>
        </w:tc>
      </w:tr>
      <w:tr w:rsidR="00CF2CD9">
        <w:trPr>
          <w:trHeight w:val="720"/>
        </w:trPr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t>Unit Title</w:t>
            </w: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</w:tr>
      <w:tr w:rsidR="00CF2CD9">
        <w:trPr>
          <w:trHeight w:val="420"/>
        </w:trPr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2063BC">
            <w:pPr>
              <w:pStyle w:val="normal0"/>
              <w:spacing w:after="0" w:line="240" w:lineRule="auto"/>
              <w:jc w:val="center"/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Weeks</w:t>
            </w: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  <w:bookmarkStart w:id="1" w:name="h.gjdgxs" w:colFirst="0" w:colLast="0"/>
            <w:bookmarkEnd w:id="1"/>
          </w:p>
        </w:tc>
      </w:tr>
      <w:tr w:rsidR="00CF2CD9">
        <w:trPr>
          <w:trHeight w:val="2840"/>
        </w:trPr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2063BC">
            <w:pPr>
              <w:pStyle w:val="normal0"/>
              <w:tabs>
                <w:tab w:val="left" w:pos="1440"/>
              </w:tabs>
              <w:spacing w:after="0" w:line="240" w:lineRule="auto"/>
              <w:jc w:val="center"/>
            </w:pPr>
            <w:r>
              <w:t>Standards go here.</w:t>
            </w: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</w:tr>
      <w:tr w:rsidR="002063BC" w:rsidTr="002063BC">
        <w:trPr>
          <w:trHeight w:val="200"/>
        </w:trPr>
        <w:tc>
          <w:tcPr>
            <w:tcW w:w="12888" w:type="dxa"/>
            <w:gridSpan w:val="8"/>
            <w:shd w:val="clear" w:color="auto" w:fill="C2D69B"/>
            <w:tcMar>
              <w:left w:w="108" w:type="dxa"/>
              <w:right w:w="108" w:type="dxa"/>
            </w:tcMar>
            <w:vAlign w:val="center"/>
          </w:tcPr>
          <w:p w:rsidR="002063BC" w:rsidRDefault="002063BC" w:rsidP="002063BC">
            <w:pPr>
              <w:pStyle w:val="normal0"/>
              <w:spacing w:after="0"/>
              <w:contextualSpacing/>
              <w:jc w:val="center"/>
            </w:pPr>
            <w:r>
              <w:rPr>
                <w:b/>
              </w:rPr>
              <w:t>Technology Standards</w:t>
            </w:r>
          </w:p>
        </w:tc>
      </w:tr>
      <w:tr w:rsidR="00CF2CD9">
        <w:trPr>
          <w:trHeight w:val="1240"/>
        </w:trPr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1611" w:type="dxa"/>
            <w:shd w:val="clear" w:color="auto" w:fill="FFFFFF"/>
            <w:tcMar>
              <w:left w:w="108" w:type="dxa"/>
              <w:right w:w="108" w:type="dxa"/>
            </w:tcMar>
          </w:tcPr>
          <w:p w:rsidR="00CF2CD9" w:rsidRDefault="00CF2CD9">
            <w:pPr>
              <w:pStyle w:val="normal0"/>
              <w:spacing w:after="0" w:line="240" w:lineRule="auto"/>
              <w:jc w:val="center"/>
            </w:pPr>
          </w:p>
        </w:tc>
      </w:tr>
    </w:tbl>
    <w:p w:rsidR="00CF2CD9" w:rsidRDefault="00CF2CD9">
      <w:pPr>
        <w:pStyle w:val="normal0"/>
      </w:pPr>
    </w:p>
    <w:sectPr w:rsidR="00CF2CD9">
      <w:headerReference w:type="default" r:id="rId7"/>
      <w:pgSz w:w="15840" w:h="122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7D" w:rsidRDefault="002063BC">
      <w:pPr>
        <w:spacing w:after="0" w:line="240" w:lineRule="auto"/>
      </w:pPr>
      <w:r>
        <w:separator/>
      </w:r>
    </w:p>
  </w:endnote>
  <w:endnote w:type="continuationSeparator" w:id="0">
    <w:p w:rsidR="006C4F7D" w:rsidRDefault="00206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7D" w:rsidRDefault="002063BC">
      <w:pPr>
        <w:spacing w:after="0" w:line="240" w:lineRule="auto"/>
      </w:pPr>
      <w:r>
        <w:separator/>
      </w:r>
    </w:p>
  </w:footnote>
  <w:footnote w:type="continuationSeparator" w:id="0">
    <w:p w:rsidR="006C4F7D" w:rsidRDefault="00206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D9" w:rsidRDefault="002063BC">
    <w:pPr>
      <w:pStyle w:val="normal0"/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2"/>
      </w:rPr>
      <w:t>Cabarrus County Schools</w:t>
    </w:r>
    <w:r>
      <w:rPr>
        <w:noProof/>
      </w:rPr>
      <w:drawing>
        <wp:anchor distT="0" distB="0" distL="114300" distR="114300" simplePos="0" relativeHeight="251658240" behindDoc="0" locked="0" layoutInCell="0" hidden="0" allowOverlap="0">
          <wp:simplePos x="0" y="0"/>
          <wp:positionH relativeFrom="margin">
            <wp:posOffset>-681354</wp:posOffset>
          </wp:positionH>
          <wp:positionV relativeFrom="paragraph">
            <wp:posOffset>-202564</wp:posOffset>
          </wp:positionV>
          <wp:extent cx="1125855" cy="584200"/>
          <wp:effectExtent l="0" t="0" r="0" b="0"/>
          <wp:wrapSquare wrapText="bothSides" distT="0" distB="0" distL="114300" distR="114300"/>
          <wp:docPr id="1" name="image0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5855" cy="584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F2CD9" w:rsidRDefault="002063BC">
    <w:pPr>
      <w:pStyle w:val="normal0"/>
      <w:spacing w:after="0" w:line="240" w:lineRule="auto"/>
      <w:jc w:val="center"/>
    </w:pPr>
    <w:r>
      <w:rPr>
        <w:rFonts w:ascii="Times New Roman" w:eastAsia="Times New Roman" w:hAnsi="Times New Roman" w:cs="Times New Roman"/>
        <w:sz w:val="28"/>
      </w:rPr>
      <w:t>TEMPLATE Year-Long Curriculum Map</w:t>
    </w:r>
  </w:p>
  <w:p w:rsidR="00CF2CD9" w:rsidRDefault="00CF2CD9">
    <w:pPr>
      <w:pStyle w:val="normal0"/>
      <w:tabs>
        <w:tab w:val="center" w:pos="4680"/>
        <w:tab w:val="right" w:pos="9360"/>
      </w:tabs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2CD9"/>
    <w:rsid w:val="0005468E"/>
    <w:rsid w:val="002063BC"/>
    <w:rsid w:val="006C4F7D"/>
    <w:rsid w:val="00CF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Macintosh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TEMPLATEYearLongCurriculumMap.docx</dc:title>
  <cp:lastModifiedBy>Tara Nattrass</cp:lastModifiedBy>
  <cp:revision>2</cp:revision>
  <dcterms:created xsi:type="dcterms:W3CDTF">2014-06-15T21:07:00Z</dcterms:created>
  <dcterms:modified xsi:type="dcterms:W3CDTF">2014-06-15T21:07:00Z</dcterms:modified>
</cp:coreProperties>
</file>